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2E56E" w14:textId="77777777" w:rsidR="001A0323" w:rsidRDefault="001A0323" w:rsidP="002C2F03">
      <w:pPr>
        <w:jc w:val="center"/>
        <w:rPr>
          <w:rFonts w:cs="TT646o00"/>
          <w:b/>
          <w:sz w:val="24"/>
          <w:szCs w:val="24"/>
        </w:rPr>
      </w:pPr>
    </w:p>
    <w:p w14:paraId="0F4E346C" w14:textId="36EDE1F3" w:rsidR="009F3396" w:rsidRDefault="001A0323" w:rsidP="002C2F03">
      <w:pPr>
        <w:jc w:val="center"/>
        <w:rPr>
          <w:rFonts w:cs="TT646o00"/>
          <w:b/>
          <w:sz w:val="24"/>
          <w:szCs w:val="24"/>
        </w:rPr>
      </w:pPr>
      <w:r>
        <w:rPr>
          <w:rFonts w:cs="TT646o00"/>
          <w:b/>
          <w:noProof/>
          <w:sz w:val="28"/>
          <w:szCs w:val="28"/>
        </w:rPr>
        <w:drawing>
          <wp:inline distT="0" distB="0" distL="0" distR="0" wp14:anchorId="12FCD7E2" wp14:editId="02234894">
            <wp:extent cx="6036310" cy="116586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ing for minutes template.PNG"/>
                    <pic:cNvPicPr/>
                  </pic:nvPicPr>
                  <pic:blipFill>
                    <a:blip r:embed="rId7">
                      <a:extLst>
                        <a:ext uri="{28A0092B-C50C-407E-A947-70E740481C1C}">
                          <a14:useLocalDpi xmlns:a14="http://schemas.microsoft.com/office/drawing/2010/main" val="0"/>
                        </a:ext>
                      </a:extLst>
                    </a:blip>
                    <a:stretch>
                      <a:fillRect/>
                    </a:stretch>
                  </pic:blipFill>
                  <pic:spPr>
                    <a:xfrm>
                      <a:off x="0" y="0"/>
                      <a:ext cx="6036844" cy="1165963"/>
                    </a:xfrm>
                    <a:prstGeom prst="rect">
                      <a:avLst/>
                    </a:prstGeom>
                  </pic:spPr>
                </pic:pic>
              </a:graphicData>
            </a:graphic>
          </wp:inline>
        </w:drawing>
      </w:r>
    </w:p>
    <w:p w14:paraId="5F02022A" w14:textId="5DAC9D6D" w:rsidR="00B53CA0" w:rsidRDefault="00B53CA0" w:rsidP="002C2F03">
      <w:pPr>
        <w:jc w:val="center"/>
        <w:rPr>
          <w:rFonts w:cs="TT646o00"/>
          <w:b/>
          <w:sz w:val="24"/>
          <w:szCs w:val="24"/>
        </w:rPr>
      </w:pPr>
      <w:r>
        <w:rPr>
          <w:rFonts w:cs="TT646o00"/>
          <w:b/>
          <w:sz w:val="24"/>
          <w:szCs w:val="24"/>
        </w:rPr>
        <w:t>Held on March 20, 2023 in the Seniors Room- Lansdowne Community Building</w:t>
      </w:r>
    </w:p>
    <w:p w14:paraId="58327252" w14:textId="0C1FB19F" w:rsidR="001A0323" w:rsidRPr="00347910" w:rsidRDefault="001A0323" w:rsidP="002C2F03">
      <w:pPr>
        <w:jc w:val="center"/>
        <w:rPr>
          <w:rFonts w:cs="TT646o00"/>
          <w:b/>
          <w:sz w:val="24"/>
          <w:szCs w:val="24"/>
        </w:rPr>
      </w:pPr>
    </w:p>
    <w:tbl>
      <w:tblPr>
        <w:tblStyle w:val="TableGrid"/>
        <w:tblW w:w="0" w:type="auto"/>
        <w:tblLook w:val="04A0" w:firstRow="1" w:lastRow="0" w:firstColumn="1" w:lastColumn="0" w:noHBand="0" w:noVBand="1"/>
      </w:tblPr>
      <w:tblGrid>
        <w:gridCol w:w="901"/>
        <w:gridCol w:w="4224"/>
      </w:tblGrid>
      <w:tr w:rsidR="002C2F03" w14:paraId="4AD2FAF6" w14:textId="77777777" w:rsidTr="009E0C4C">
        <w:trPr>
          <w:trHeight w:val="1286"/>
        </w:trPr>
        <w:tc>
          <w:tcPr>
            <w:tcW w:w="901" w:type="dxa"/>
          </w:tcPr>
          <w:p w14:paraId="463DD279" w14:textId="3C11BA92" w:rsidR="002C2F03" w:rsidRDefault="002C2F03" w:rsidP="00D52FBE">
            <w:r>
              <w:t>Pres</w:t>
            </w:r>
            <w:r w:rsidR="00C40D55">
              <w:t>e</w:t>
            </w:r>
            <w:r>
              <w:t>nt</w:t>
            </w:r>
          </w:p>
        </w:tc>
        <w:tc>
          <w:tcPr>
            <w:tcW w:w="4224" w:type="dxa"/>
          </w:tcPr>
          <w:p w14:paraId="54121513" w14:textId="77777777" w:rsidR="0038022D" w:rsidRDefault="00B53CA0" w:rsidP="00D52FBE">
            <w:r>
              <w:t>Brenda Lolley (Board Chair)</w:t>
            </w:r>
          </w:p>
          <w:p w14:paraId="11146D43" w14:textId="77777777" w:rsidR="00B53CA0" w:rsidRDefault="00B53CA0" w:rsidP="00D52FBE">
            <w:r>
              <w:t>Cynthia Healey</w:t>
            </w:r>
          </w:p>
          <w:p w14:paraId="2283C1B0" w14:textId="285A0745" w:rsidR="00B53CA0" w:rsidRDefault="00B53CA0" w:rsidP="00D52FBE">
            <w:r>
              <w:t>Pierre Mercier (Vice Chair)</w:t>
            </w:r>
          </w:p>
          <w:p w14:paraId="20D5A49B" w14:textId="149B55E8" w:rsidR="00B53CA0" w:rsidRDefault="00B53CA0" w:rsidP="00D52FBE">
            <w:r>
              <w:t>Carol Rogers</w:t>
            </w:r>
          </w:p>
          <w:p w14:paraId="263B5E61" w14:textId="11303719" w:rsidR="00B53CA0" w:rsidRDefault="00B53CA0" w:rsidP="00D52FBE">
            <w:r>
              <w:t>Anna Basten</w:t>
            </w:r>
          </w:p>
          <w:p w14:paraId="01BE7774" w14:textId="585CBF16" w:rsidR="00B53CA0" w:rsidRDefault="00B53CA0" w:rsidP="00D52FBE">
            <w:r>
              <w:t>Deborah Diemand</w:t>
            </w:r>
          </w:p>
          <w:p w14:paraId="791B9EB5" w14:textId="7BD9E90E" w:rsidR="00B53CA0" w:rsidRDefault="00B53CA0" w:rsidP="00D52FBE">
            <w:r>
              <w:t>Cody Barr (Interim CEO)</w:t>
            </w:r>
          </w:p>
          <w:p w14:paraId="71CEC867" w14:textId="743BBDF1" w:rsidR="00B53CA0" w:rsidRDefault="00B53CA0" w:rsidP="00D52FBE">
            <w:r>
              <w:t>Cathy Griffin</w:t>
            </w:r>
          </w:p>
          <w:p w14:paraId="32F2C508" w14:textId="64183294" w:rsidR="00B53CA0" w:rsidRDefault="00B53CA0" w:rsidP="00D52FBE">
            <w:r>
              <w:t>Corinna Smith-Gatcke (Mayor)</w:t>
            </w:r>
          </w:p>
          <w:p w14:paraId="36F0B16A" w14:textId="42CF3728" w:rsidR="00B53CA0" w:rsidRDefault="00B53CA0" w:rsidP="00D52FBE"/>
        </w:tc>
      </w:tr>
      <w:tr w:rsidR="002C2F03" w14:paraId="12B8CB69" w14:textId="77777777" w:rsidTr="00E02D9D">
        <w:trPr>
          <w:trHeight w:val="656"/>
        </w:trPr>
        <w:tc>
          <w:tcPr>
            <w:tcW w:w="901" w:type="dxa"/>
          </w:tcPr>
          <w:p w14:paraId="1AF285D6" w14:textId="77777777" w:rsidR="002C2F03" w:rsidRDefault="002C2F03" w:rsidP="00D52FBE">
            <w:r>
              <w:t>Regrets</w:t>
            </w:r>
          </w:p>
        </w:tc>
        <w:tc>
          <w:tcPr>
            <w:tcW w:w="4224" w:type="dxa"/>
          </w:tcPr>
          <w:p w14:paraId="7EC4CC00" w14:textId="73884083" w:rsidR="00E02D9D" w:rsidRDefault="00E02D9D" w:rsidP="00E02D9D"/>
          <w:p w14:paraId="65052DBE" w14:textId="53018FC4" w:rsidR="0058107E" w:rsidRDefault="00B53CA0" w:rsidP="004944C7">
            <w:r>
              <w:t>none</w:t>
            </w:r>
          </w:p>
        </w:tc>
      </w:tr>
    </w:tbl>
    <w:p w14:paraId="56603882" w14:textId="77777777" w:rsidR="009F3396" w:rsidRDefault="009F3396"/>
    <w:tbl>
      <w:tblPr>
        <w:tblStyle w:val="TableGrid"/>
        <w:tblW w:w="0" w:type="auto"/>
        <w:tblLook w:val="04A0" w:firstRow="1" w:lastRow="0" w:firstColumn="1" w:lastColumn="0" w:noHBand="0" w:noVBand="1"/>
      </w:tblPr>
      <w:tblGrid>
        <w:gridCol w:w="827"/>
        <w:gridCol w:w="2768"/>
        <w:gridCol w:w="6930"/>
        <w:gridCol w:w="2569"/>
      </w:tblGrid>
      <w:tr w:rsidR="002C2F03" w14:paraId="2466DA2A" w14:textId="77777777" w:rsidTr="00C40D55">
        <w:tc>
          <w:tcPr>
            <w:tcW w:w="827" w:type="dxa"/>
          </w:tcPr>
          <w:p w14:paraId="4464CA5D" w14:textId="77777777" w:rsidR="002C2F03" w:rsidRPr="002C2F03" w:rsidRDefault="002C2F03">
            <w:r w:rsidRPr="002C2F03">
              <w:t>1.0</w:t>
            </w:r>
          </w:p>
        </w:tc>
        <w:tc>
          <w:tcPr>
            <w:tcW w:w="2768" w:type="dxa"/>
          </w:tcPr>
          <w:p w14:paraId="69B42447" w14:textId="0F2F3834" w:rsidR="002C2F03" w:rsidRPr="002C2F03" w:rsidRDefault="002C2F03">
            <w:pPr>
              <w:rPr>
                <w:b/>
              </w:rPr>
            </w:pPr>
            <w:r w:rsidRPr="002C2F03">
              <w:rPr>
                <w:b/>
              </w:rPr>
              <w:t>Call to Order</w:t>
            </w:r>
            <w:r w:rsidR="00B16D5E">
              <w:rPr>
                <w:b/>
              </w:rPr>
              <w:t xml:space="preserve"> </w:t>
            </w:r>
          </w:p>
        </w:tc>
        <w:tc>
          <w:tcPr>
            <w:tcW w:w="6930" w:type="dxa"/>
          </w:tcPr>
          <w:p w14:paraId="394A318D" w14:textId="26F9B289" w:rsidR="001A0323" w:rsidRDefault="003B415C" w:rsidP="000E13A6">
            <w:r>
              <w:t xml:space="preserve"> </w:t>
            </w:r>
            <w:r w:rsidR="00B53CA0">
              <w:t>The Meeting was called to order by the Chair at 3:58 PM</w:t>
            </w:r>
          </w:p>
          <w:p w14:paraId="4F92FC74" w14:textId="77777777" w:rsidR="001A0323" w:rsidRDefault="001A0323" w:rsidP="000E13A6"/>
          <w:p w14:paraId="4DEB6437" w14:textId="6E5BB746" w:rsidR="001A0323" w:rsidRDefault="001A0323" w:rsidP="000E13A6"/>
        </w:tc>
        <w:tc>
          <w:tcPr>
            <w:tcW w:w="2569" w:type="dxa"/>
          </w:tcPr>
          <w:p w14:paraId="5A7061DA" w14:textId="77777777" w:rsidR="002C2F03" w:rsidRDefault="002C2F03"/>
        </w:tc>
      </w:tr>
      <w:tr w:rsidR="00604988" w14:paraId="00E7220B" w14:textId="77777777" w:rsidTr="00C40D55">
        <w:tc>
          <w:tcPr>
            <w:tcW w:w="827" w:type="dxa"/>
          </w:tcPr>
          <w:p w14:paraId="18CC3B4D" w14:textId="77777777" w:rsidR="00604988" w:rsidRPr="002C2F03" w:rsidRDefault="002C2F03">
            <w:r w:rsidRPr="008F2472">
              <w:t>2</w:t>
            </w:r>
            <w:r w:rsidR="00604988" w:rsidRPr="008F2472">
              <w:t>.0</w:t>
            </w:r>
          </w:p>
        </w:tc>
        <w:tc>
          <w:tcPr>
            <w:tcW w:w="2768" w:type="dxa"/>
          </w:tcPr>
          <w:p w14:paraId="6E0BBBBB" w14:textId="55297A00" w:rsidR="00604988" w:rsidRPr="002C2F03" w:rsidRDefault="00B53CA0">
            <w:pPr>
              <w:rPr>
                <w:b/>
              </w:rPr>
            </w:pPr>
            <w:r>
              <w:rPr>
                <w:b/>
              </w:rPr>
              <w:t>Land Acknowledgement &amp; Remarks from the Chair</w:t>
            </w:r>
          </w:p>
        </w:tc>
        <w:tc>
          <w:tcPr>
            <w:tcW w:w="6930" w:type="dxa"/>
          </w:tcPr>
          <w:p w14:paraId="74B4363B" w14:textId="761F6BBB" w:rsidR="00604988" w:rsidRDefault="00B53CA0" w:rsidP="00A92F45">
            <w:r>
              <w:t>Chair B. Lolley welcomed board members to the meeting and provided some opening remarks. The Land Acknowledgement was shared</w:t>
            </w:r>
          </w:p>
          <w:p w14:paraId="720F00C9" w14:textId="0A7202B3" w:rsidR="001A0323" w:rsidRDefault="001A0323" w:rsidP="00A92F45"/>
        </w:tc>
        <w:tc>
          <w:tcPr>
            <w:tcW w:w="2569" w:type="dxa"/>
          </w:tcPr>
          <w:p w14:paraId="449E1DB9" w14:textId="77777777" w:rsidR="00604988" w:rsidRDefault="00604988"/>
        </w:tc>
      </w:tr>
      <w:tr w:rsidR="0003658B" w14:paraId="1A8280CD" w14:textId="77777777" w:rsidTr="00C40D55">
        <w:tc>
          <w:tcPr>
            <w:tcW w:w="827" w:type="dxa"/>
          </w:tcPr>
          <w:p w14:paraId="3E11BFB0" w14:textId="77777777" w:rsidR="0003658B" w:rsidRPr="002C2F03" w:rsidRDefault="0003658B" w:rsidP="0003658B">
            <w:r w:rsidRPr="002C2F03">
              <w:lastRenderedPageBreak/>
              <w:t>3.0</w:t>
            </w:r>
          </w:p>
        </w:tc>
        <w:tc>
          <w:tcPr>
            <w:tcW w:w="2768" w:type="dxa"/>
          </w:tcPr>
          <w:p w14:paraId="49F3858D" w14:textId="2EF2E78D" w:rsidR="00C40D55" w:rsidRPr="002C2F03" w:rsidRDefault="00B53CA0" w:rsidP="0003658B">
            <w:pPr>
              <w:rPr>
                <w:b/>
              </w:rPr>
            </w:pPr>
            <w:r>
              <w:rPr>
                <w:b/>
              </w:rPr>
              <w:t>Approval of the Agenda</w:t>
            </w:r>
          </w:p>
        </w:tc>
        <w:tc>
          <w:tcPr>
            <w:tcW w:w="6930" w:type="dxa"/>
          </w:tcPr>
          <w:p w14:paraId="08F285E3" w14:textId="157EFCAF" w:rsidR="0003658B" w:rsidRPr="00C22813" w:rsidRDefault="00B53CA0" w:rsidP="00A92F45">
            <w:pPr>
              <w:rPr>
                <w:b/>
              </w:rPr>
            </w:pPr>
            <w:r w:rsidRPr="002A0AE7">
              <w:rPr>
                <w:b/>
              </w:rPr>
              <w:t>Motion 23-22</w:t>
            </w:r>
            <w:r>
              <w:t xml:space="preserve"> THAT the Leeds and the Thousand Islands Public Library Board approve the agenda as presented. Moved by P. Mercier; seconded by C. Rogers. </w:t>
            </w:r>
            <w:r w:rsidRPr="00C22813">
              <w:rPr>
                <w:b/>
              </w:rPr>
              <w:t>APPROVED</w:t>
            </w:r>
          </w:p>
          <w:p w14:paraId="14C6223B" w14:textId="646A3C6A" w:rsidR="001A0323" w:rsidRDefault="001A0323" w:rsidP="00A92F45"/>
        </w:tc>
        <w:tc>
          <w:tcPr>
            <w:tcW w:w="2569" w:type="dxa"/>
          </w:tcPr>
          <w:p w14:paraId="101BEDE7" w14:textId="77777777" w:rsidR="0003658B" w:rsidRDefault="0003658B" w:rsidP="0003658B"/>
        </w:tc>
      </w:tr>
      <w:tr w:rsidR="0003658B" w14:paraId="3CB6EA5E" w14:textId="77777777" w:rsidTr="00C40D55">
        <w:tc>
          <w:tcPr>
            <w:tcW w:w="827" w:type="dxa"/>
          </w:tcPr>
          <w:p w14:paraId="1B93EFB3" w14:textId="77777777" w:rsidR="0003658B" w:rsidRPr="002C2F03" w:rsidRDefault="0003658B" w:rsidP="0003658B">
            <w:r w:rsidRPr="002C2F03">
              <w:t>4.0</w:t>
            </w:r>
          </w:p>
        </w:tc>
        <w:tc>
          <w:tcPr>
            <w:tcW w:w="2768" w:type="dxa"/>
          </w:tcPr>
          <w:p w14:paraId="155F547C" w14:textId="6C2E6974" w:rsidR="0003658B" w:rsidRPr="002C2F03" w:rsidRDefault="00B53CA0" w:rsidP="0003658B">
            <w:pPr>
              <w:rPr>
                <w:b/>
              </w:rPr>
            </w:pPr>
            <w:r>
              <w:rPr>
                <w:b/>
              </w:rPr>
              <w:t>Declaration of Conflict of Interest.</w:t>
            </w:r>
          </w:p>
        </w:tc>
        <w:tc>
          <w:tcPr>
            <w:tcW w:w="6930" w:type="dxa"/>
          </w:tcPr>
          <w:p w14:paraId="387D7514" w14:textId="7383EF9D" w:rsidR="001A0323" w:rsidRDefault="00B53CA0" w:rsidP="00A92F45">
            <w:r>
              <w:t>None to declare.</w:t>
            </w:r>
          </w:p>
          <w:p w14:paraId="0E0A5992" w14:textId="77777777" w:rsidR="001A0323" w:rsidRDefault="001A0323" w:rsidP="00A92F45"/>
          <w:p w14:paraId="7297597B" w14:textId="40015443" w:rsidR="001A0323" w:rsidRDefault="001A0323" w:rsidP="00A92F45"/>
        </w:tc>
        <w:tc>
          <w:tcPr>
            <w:tcW w:w="2569" w:type="dxa"/>
          </w:tcPr>
          <w:p w14:paraId="3350C589" w14:textId="77777777" w:rsidR="0003658B" w:rsidRDefault="0003658B" w:rsidP="0003658B"/>
        </w:tc>
      </w:tr>
      <w:tr w:rsidR="0003658B" w14:paraId="3E1E3AC6" w14:textId="77777777" w:rsidTr="00C40D55">
        <w:tc>
          <w:tcPr>
            <w:tcW w:w="827" w:type="dxa"/>
          </w:tcPr>
          <w:p w14:paraId="5049EA92" w14:textId="77777777" w:rsidR="0003658B" w:rsidRPr="002C2F03" w:rsidRDefault="0003658B" w:rsidP="0003658B">
            <w:r w:rsidRPr="002C2F03">
              <w:t>5.0</w:t>
            </w:r>
          </w:p>
        </w:tc>
        <w:tc>
          <w:tcPr>
            <w:tcW w:w="2768" w:type="dxa"/>
          </w:tcPr>
          <w:p w14:paraId="3EB8B563" w14:textId="1C0B45AD" w:rsidR="0003658B" w:rsidRPr="002C2F03" w:rsidRDefault="0003658B" w:rsidP="0003658B">
            <w:pPr>
              <w:rPr>
                <w:b/>
              </w:rPr>
            </w:pPr>
            <w:r w:rsidRPr="002C2F03">
              <w:rPr>
                <w:b/>
              </w:rPr>
              <w:t xml:space="preserve">Adoption of the </w:t>
            </w:r>
            <w:r w:rsidR="00C40D55">
              <w:rPr>
                <w:b/>
              </w:rPr>
              <w:t>M</w:t>
            </w:r>
            <w:r w:rsidRPr="002C2F03">
              <w:rPr>
                <w:b/>
              </w:rPr>
              <w:t>inutes</w:t>
            </w:r>
          </w:p>
        </w:tc>
        <w:tc>
          <w:tcPr>
            <w:tcW w:w="6930" w:type="dxa"/>
          </w:tcPr>
          <w:p w14:paraId="2B99A650" w14:textId="2351FF7E" w:rsidR="008A4C3D" w:rsidRDefault="00B53CA0" w:rsidP="00A92F45">
            <w:pPr>
              <w:rPr>
                <w:b/>
              </w:rPr>
            </w:pPr>
            <w:r>
              <w:rPr>
                <w:b/>
              </w:rPr>
              <w:t>5.1 February 20, 2023</w:t>
            </w:r>
          </w:p>
          <w:p w14:paraId="1BC33781" w14:textId="2B350237" w:rsidR="00B53CA0" w:rsidRDefault="00B53CA0" w:rsidP="00A92F45">
            <w:pPr>
              <w:rPr>
                <w:b/>
              </w:rPr>
            </w:pPr>
          </w:p>
          <w:p w14:paraId="2BA2D438" w14:textId="6AA0A635" w:rsidR="00B53CA0" w:rsidRPr="00C22813" w:rsidRDefault="00B53CA0" w:rsidP="00A92F45">
            <w:r>
              <w:rPr>
                <w:b/>
              </w:rPr>
              <w:t>Motion</w:t>
            </w:r>
            <w:r w:rsidR="00C22813">
              <w:rPr>
                <w:b/>
              </w:rPr>
              <w:t xml:space="preserve"> 23-23 </w:t>
            </w:r>
            <w:r w:rsidR="00C22813" w:rsidRPr="00C22813">
              <w:t>THAT the Leeds and the Thousand</w:t>
            </w:r>
            <w:r w:rsidR="00C22813">
              <w:rPr>
                <w:b/>
              </w:rPr>
              <w:t xml:space="preserve"> </w:t>
            </w:r>
            <w:r w:rsidR="00C22813" w:rsidRPr="00C22813">
              <w:t>Islands Public Library Board a</w:t>
            </w:r>
            <w:r w:rsidR="00C22813">
              <w:t>pprove the minutes from the previous meeting, February 20, 2023, as presented. Moved by D. Diemand; seconded by A. Basten. APPROVED</w:t>
            </w:r>
          </w:p>
          <w:p w14:paraId="36F0E87E" w14:textId="58DF38D5" w:rsidR="001A0323" w:rsidRPr="00042ACB" w:rsidRDefault="001A0323" w:rsidP="00A92F45">
            <w:pPr>
              <w:rPr>
                <w:b/>
              </w:rPr>
            </w:pPr>
          </w:p>
        </w:tc>
        <w:tc>
          <w:tcPr>
            <w:tcW w:w="2569" w:type="dxa"/>
          </w:tcPr>
          <w:p w14:paraId="5313EAA9" w14:textId="77777777" w:rsidR="0003658B" w:rsidRDefault="0003658B" w:rsidP="0003658B">
            <w:r>
              <w:t xml:space="preserve"> </w:t>
            </w:r>
          </w:p>
        </w:tc>
      </w:tr>
      <w:tr w:rsidR="0003658B" w14:paraId="4EA235E5" w14:textId="77777777" w:rsidTr="00C40D55">
        <w:tc>
          <w:tcPr>
            <w:tcW w:w="827" w:type="dxa"/>
          </w:tcPr>
          <w:p w14:paraId="28C18E8E" w14:textId="77777777" w:rsidR="0003658B" w:rsidRPr="002C2F03" w:rsidRDefault="0003658B" w:rsidP="0003658B">
            <w:r>
              <w:t>6.0</w:t>
            </w:r>
          </w:p>
        </w:tc>
        <w:tc>
          <w:tcPr>
            <w:tcW w:w="2768" w:type="dxa"/>
          </w:tcPr>
          <w:p w14:paraId="2486A226" w14:textId="7C493B33" w:rsidR="00C40D55" w:rsidRPr="002C2F03" w:rsidRDefault="0003658B" w:rsidP="0003658B">
            <w:pPr>
              <w:rPr>
                <w:b/>
              </w:rPr>
            </w:pPr>
            <w:r>
              <w:rPr>
                <w:b/>
              </w:rPr>
              <w:t>Business Arising from the Minutes</w:t>
            </w:r>
          </w:p>
        </w:tc>
        <w:tc>
          <w:tcPr>
            <w:tcW w:w="6930" w:type="dxa"/>
          </w:tcPr>
          <w:p w14:paraId="1A975261" w14:textId="7CB6D848" w:rsidR="001A0323" w:rsidRPr="002A0AE7" w:rsidRDefault="00C22813" w:rsidP="00487434">
            <w:pPr>
              <w:rPr>
                <w:b/>
                <w:bCs/>
              </w:rPr>
            </w:pPr>
            <w:r w:rsidRPr="002A0AE7">
              <w:rPr>
                <w:b/>
                <w:bCs/>
              </w:rPr>
              <w:t>6.1 Strategic Plan Progress Review</w:t>
            </w:r>
          </w:p>
          <w:p w14:paraId="0D942B5C" w14:textId="08501CCD" w:rsidR="00C22813" w:rsidRDefault="00C22813" w:rsidP="00487434">
            <w:pPr>
              <w:rPr>
                <w:bCs/>
              </w:rPr>
            </w:pPr>
          </w:p>
          <w:p w14:paraId="046D96AE" w14:textId="20132805" w:rsidR="00C22813" w:rsidRDefault="00C22813" w:rsidP="00487434">
            <w:pPr>
              <w:rPr>
                <w:bCs/>
              </w:rPr>
            </w:pPr>
            <w:r>
              <w:rPr>
                <w:bCs/>
              </w:rPr>
              <w:t>C. Barr provided an update on the strategic goals for 2023. C. Barr indicated that the workplan had a few items that had already been addressed last year; so a few of the items will be marked as completed.</w:t>
            </w:r>
          </w:p>
          <w:p w14:paraId="19F31D76" w14:textId="1EBE02F3" w:rsidR="00C22813" w:rsidRDefault="00C22813" w:rsidP="00487434">
            <w:pPr>
              <w:rPr>
                <w:bCs/>
              </w:rPr>
            </w:pPr>
          </w:p>
          <w:p w14:paraId="27CDFCE5" w14:textId="4D5E8778" w:rsidR="001A0323" w:rsidRPr="00487434" w:rsidRDefault="00C22813" w:rsidP="00487434">
            <w:pPr>
              <w:rPr>
                <w:bCs/>
              </w:rPr>
            </w:pPr>
            <w:r>
              <w:rPr>
                <w:bCs/>
              </w:rPr>
              <w:t>Board members discussed each of the completed items added to the strategic plan for this report. C. Barr provided clarification on items, as required. A few missing items were reported, and will be added to the strategic plan report.</w:t>
            </w:r>
          </w:p>
        </w:tc>
        <w:tc>
          <w:tcPr>
            <w:tcW w:w="2569" w:type="dxa"/>
          </w:tcPr>
          <w:p w14:paraId="246B9790" w14:textId="77777777" w:rsidR="00E60838" w:rsidRDefault="00E60838" w:rsidP="009C671B"/>
        </w:tc>
      </w:tr>
      <w:tr w:rsidR="0003658B" w14:paraId="71DB1A42" w14:textId="77777777" w:rsidTr="00C40D55">
        <w:tc>
          <w:tcPr>
            <w:tcW w:w="827" w:type="dxa"/>
          </w:tcPr>
          <w:p w14:paraId="3FFA7014" w14:textId="77777777" w:rsidR="0003658B" w:rsidRPr="002C2F03" w:rsidRDefault="0003658B" w:rsidP="0003658B">
            <w:r>
              <w:t>7</w:t>
            </w:r>
            <w:r w:rsidRPr="002C2F03">
              <w:t>.0</w:t>
            </w:r>
          </w:p>
        </w:tc>
        <w:tc>
          <w:tcPr>
            <w:tcW w:w="2768" w:type="dxa"/>
          </w:tcPr>
          <w:p w14:paraId="05AA7999" w14:textId="6BCEE534" w:rsidR="0003658B" w:rsidRPr="002C2F03" w:rsidRDefault="00C22813" w:rsidP="0003658B">
            <w:pPr>
              <w:rPr>
                <w:b/>
              </w:rPr>
            </w:pPr>
            <w:r>
              <w:rPr>
                <w:b/>
              </w:rPr>
              <w:t>Consent Agenda</w:t>
            </w:r>
          </w:p>
        </w:tc>
        <w:tc>
          <w:tcPr>
            <w:tcW w:w="6930" w:type="dxa"/>
          </w:tcPr>
          <w:p w14:paraId="60FEE381" w14:textId="51127EF5" w:rsidR="001A0323" w:rsidRDefault="00C22813" w:rsidP="00A92F45">
            <w:r>
              <w:t>7.1 CEO Report</w:t>
            </w:r>
          </w:p>
          <w:p w14:paraId="4D9D53D8" w14:textId="7731CD80" w:rsidR="00C22813" w:rsidRDefault="00C22813" w:rsidP="00C22813">
            <w:pPr>
              <w:pStyle w:val="ListParagraph"/>
              <w:numPr>
                <w:ilvl w:val="0"/>
                <w:numId w:val="6"/>
              </w:numPr>
            </w:pPr>
            <w:r>
              <w:t>See attached</w:t>
            </w:r>
          </w:p>
          <w:p w14:paraId="4CA59CFD" w14:textId="60594C14" w:rsidR="00C22813" w:rsidRDefault="00C22813" w:rsidP="00C22813">
            <w:r>
              <w:t>7.2 Statistical Report</w:t>
            </w:r>
          </w:p>
          <w:p w14:paraId="788D562D" w14:textId="32CC2275" w:rsidR="00C22813" w:rsidRDefault="00C22813" w:rsidP="00C22813">
            <w:pPr>
              <w:pStyle w:val="ListParagraph"/>
              <w:numPr>
                <w:ilvl w:val="0"/>
                <w:numId w:val="6"/>
              </w:numPr>
            </w:pPr>
            <w:r>
              <w:t>See attached</w:t>
            </w:r>
          </w:p>
          <w:p w14:paraId="6F5A3481" w14:textId="07FCD8AC" w:rsidR="00C22813" w:rsidRDefault="00C22813" w:rsidP="00C22813">
            <w:r>
              <w:t>7.3 Financial Report</w:t>
            </w:r>
          </w:p>
          <w:p w14:paraId="0A10FBC8" w14:textId="5ABD33FC" w:rsidR="00C22813" w:rsidRDefault="00C22813" w:rsidP="00C22813">
            <w:pPr>
              <w:pStyle w:val="ListParagraph"/>
              <w:numPr>
                <w:ilvl w:val="0"/>
                <w:numId w:val="6"/>
              </w:numPr>
            </w:pPr>
            <w:r>
              <w:t>See attached</w:t>
            </w:r>
          </w:p>
          <w:p w14:paraId="278037A5" w14:textId="21AFB303" w:rsidR="00C22813" w:rsidRDefault="00C22813" w:rsidP="00C22813">
            <w:r>
              <w:t>7.4 Health and Safety Report</w:t>
            </w:r>
          </w:p>
          <w:p w14:paraId="6C73344F" w14:textId="2E14C709" w:rsidR="00C22813" w:rsidRDefault="00C22813" w:rsidP="00C22813">
            <w:pPr>
              <w:pStyle w:val="ListParagraph"/>
              <w:numPr>
                <w:ilvl w:val="0"/>
                <w:numId w:val="6"/>
              </w:numPr>
            </w:pPr>
            <w:r>
              <w:t>See attached</w:t>
            </w:r>
          </w:p>
          <w:p w14:paraId="0625A233" w14:textId="5868B91B" w:rsidR="00C22813" w:rsidRDefault="00C22813" w:rsidP="00C22813"/>
          <w:p w14:paraId="449217E0" w14:textId="6F5001A1" w:rsidR="00C22813" w:rsidRDefault="00C22813" w:rsidP="00C22813">
            <w:r>
              <w:t>C. Barr discussed the reports in the consent agenda.</w:t>
            </w:r>
          </w:p>
          <w:p w14:paraId="6B5B7D8A" w14:textId="2FEC014F" w:rsidR="00C22813" w:rsidRDefault="00C22813" w:rsidP="00C22813"/>
          <w:p w14:paraId="0BFAF604" w14:textId="6482D994" w:rsidR="00C22813" w:rsidRDefault="00C22813" w:rsidP="00C22813">
            <w:r w:rsidRPr="002A0AE7">
              <w:rPr>
                <w:b/>
              </w:rPr>
              <w:lastRenderedPageBreak/>
              <w:t>Motion 23-24</w:t>
            </w:r>
            <w:r>
              <w:t xml:space="preserve"> THAT the Leeds and the Thousand Islands Public Library Board approve the consent agenda, including the following reports:</w:t>
            </w:r>
          </w:p>
          <w:p w14:paraId="0AE1F449" w14:textId="68B80C10" w:rsidR="00C22813" w:rsidRDefault="00C22813" w:rsidP="00C22813">
            <w:r>
              <w:t>CEO Report- March 2023</w:t>
            </w:r>
          </w:p>
          <w:p w14:paraId="6257ACF1" w14:textId="62416E58" w:rsidR="00C22813" w:rsidRDefault="00C22813" w:rsidP="00C22813">
            <w:r>
              <w:t>Financial Statement to February 28, 2023</w:t>
            </w:r>
          </w:p>
          <w:p w14:paraId="03330967" w14:textId="303ACB25" w:rsidR="00C22813" w:rsidRDefault="00C22813" w:rsidP="00C22813">
            <w:r>
              <w:t>Statistical Report to February 28, 2023</w:t>
            </w:r>
          </w:p>
          <w:p w14:paraId="5A900A34" w14:textId="77B3AEFB" w:rsidR="00C22813" w:rsidRDefault="00C22813" w:rsidP="00C22813">
            <w:r>
              <w:t>Health and Safety Report – March 2023</w:t>
            </w:r>
          </w:p>
          <w:p w14:paraId="271FD816" w14:textId="55247D72" w:rsidR="001A0323" w:rsidRPr="00D30D1C" w:rsidRDefault="00C22813" w:rsidP="00A92F45">
            <w:r>
              <w:t xml:space="preserve">Moved by A. Basten; seconded by C.Griffin. </w:t>
            </w:r>
            <w:r w:rsidRPr="002A0AE7">
              <w:rPr>
                <w:b/>
              </w:rPr>
              <w:t>APPROVED</w:t>
            </w:r>
          </w:p>
        </w:tc>
        <w:tc>
          <w:tcPr>
            <w:tcW w:w="2569" w:type="dxa"/>
          </w:tcPr>
          <w:p w14:paraId="7404A92D" w14:textId="701E99A4" w:rsidR="00C40D55" w:rsidRDefault="00C40D55" w:rsidP="0003658B"/>
        </w:tc>
      </w:tr>
      <w:tr w:rsidR="0003658B" w14:paraId="26578206" w14:textId="77777777" w:rsidTr="00C40D55">
        <w:tc>
          <w:tcPr>
            <w:tcW w:w="827" w:type="dxa"/>
          </w:tcPr>
          <w:p w14:paraId="7D8B3A01" w14:textId="77777777" w:rsidR="0003658B" w:rsidRPr="002C2F03" w:rsidRDefault="0003658B" w:rsidP="0003658B">
            <w:r>
              <w:t>8</w:t>
            </w:r>
            <w:r w:rsidRPr="002C2F03">
              <w:t>.0</w:t>
            </w:r>
          </w:p>
        </w:tc>
        <w:tc>
          <w:tcPr>
            <w:tcW w:w="2768" w:type="dxa"/>
          </w:tcPr>
          <w:p w14:paraId="613D2515" w14:textId="77777777" w:rsidR="0003658B" w:rsidRPr="00C53399" w:rsidRDefault="0003658B" w:rsidP="0003658B">
            <w:pPr>
              <w:rPr>
                <w:b/>
              </w:rPr>
            </w:pPr>
            <w:r w:rsidRPr="00C53399">
              <w:rPr>
                <w:b/>
              </w:rPr>
              <w:t>Decision Items</w:t>
            </w:r>
          </w:p>
        </w:tc>
        <w:tc>
          <w:tcPr>
            <w:tcW w:w="6930" w:type="dxa"/>
          </w:tcPr>
          <w:p w14:paraId="1E592B3D" w14:textId="5CD0E66B" w:rsidR="001A0323" w:rsidRPr="00487434" w:rsidRDefault="002A0AE7" w:rsidP="00A92F45">
            <w:r>
              <w:t>None to declare</w:t>
            </w:r>
          </w:p>
        </w:tc>
        <w:tc>
          <w:tcPr>
            <w:tcW w:w="2569" w:type="dxa"/>
          </w:tcPr>
          <w:p w14:paraId="76473F62" w14:textId="1DBC9CDC" w:rsidR="00DB5F66" w:rsidRDefault="00DB5F66" w:rsidP="00251477"/>
        </w:tc>
      </w:tr>
      <w:tr w:rsidR="00237902" w14:paraId="37E2E110" w14:textId="77777777" w:rsidTr="00C40D55">
        <w:tc>
          <w:tcPr>
            <w:tcW w:w="827" w:type="dxa"/>
          </w:tcPr>
          <w:p w14:paraId="7F0F3FAE" w14:textId="04026B5E" w:rsidR="00237902" w:rsidRDefault="003E72E2" w:rsidP="0003658B">
            <w:r>
              <w:t>9</w:t>
            </w:r>
            <w:r w:rsidR="00237902">
              <w:t>.0</w:t>
            </w:r>
          </w:p>
        </w:tc>
        <w:tc>
          <w:tcPr>
            <w:tcW w:w="2768" w:type="dxa"/>
          </w:tcPr>
          <w:p w14:paraId="070AE8EE" w14:textId="3247DE60" w:rsidR="00237902" w:rsidRDefault="002A0AE7" w:rsidP="0003658B">
            <w:pPr>
              <w:rPr>
                <w:b/>
              </w:rPr>
            </w:pPr>
            <w:r>
              <w:rPr>
                <w:b/>
              </w:rPr>
              <w:t>In-Camera Session</w:t>
            </w:r>
          </w:p>
        </w:tc>
        <w:tc>
          <w:tcPr>
            <w:tcW w:w="6930" w:type="dxa"/>
          </w:tcPr>
          <w:p w14:paraId="4896A988" w14:textId="0C456218" w:rsidR="001A0323" w:rsidRPr="00237902" w:rsidRDefault="002A0AE7" w:rsidP="00A92F45">
            <w:pPr>
              <w:pStyle w:val="ListParagraph"/>
              <w:ind w:left="0"/>
              <w:rPr>
                <w:bCs/>
              </w:rPr>
            </w:pPr>
            <w:r>
              <w:rPr>
                <w:bCs/>
              </w:rPr>
              <w:t>Not declared</w:t>
            </w:r>
          </w:p>
        </w:tc>
        <w:tc>
          <w:tcPr>
            <w:tcW w:w="2569" w:type="dxa"/>
          </w:tcPr>
          <w:p w14:paraId="56F2B3A7" w14:textId="67DA724B" w:rsidR="00DF16E7" w:rsidRDefault="00DF16E7" w:rsidP="0003658B"/>
        </w:tc>
      </w:tr>
      <w:tr w:rsidR="0043482A" w14:paraId="638E8C18" w14:textId="77777777" w:rsidTr="00C40D55">
        <w:tc>
          <w:tcPr>
            <w:tcW w:w="827" w:type="dxa"/>
          </w:tcPr>
          <w:p w14:paraId="27394D53" w14:textId="028A2704" w:rsidR="0043482A" w:rsidRDefault="0043482A" w:rsidP="0003658B">
            <w:r>
              <w:t>1</w:t>
            </w:r>
            <w:r w:rsidR="00DF16E7">
              <w:t>0</w:t>
            </w:r>
            <w:r w:rsidR="00237902">
              <w:t>.0</w:t>
            </w:r>
          </w:p>
        </w:tc>
        <w:tc>
          <w:tcPr>
            <w:tcW w:w="2768" w:type="dxa"/>
          </w:tcPr>
          <w:p w14:paraId="5C582099" w14:textId="3B39046F" w:rsidR="0043482A" w:rsidRDefault="002A0AE7" w:rsidP="0003658B">
            <w:pPr>
              <w:rPr>
                <w:b/>
              </w:rPr>
            </w:pPr>
            <w:r>
              <w:rPr>
                <w:b/>
              </w:rPr>
              <w:t>Discussion Items</w:t>
            </w:r>
          </w:p>
        </w:tc>
        <w:tc>
          <w:tcPr>
            <w:tcW w:w="6930" w:type="dxa"/>
          </w:tcPr>
          <w:p w14:paraId="33D420E7" w14:textId="77777777" w:rsidR="002A0AE7" w:rsidRDefault="002A0AE7" w:rsidP="002A0AE7">
            <w:pPr>
              <w:pStyle w:val="Default"/>
              <w:rPr>
                <w:sz w:val="22"/>
                <w:szCs w:val="22"/>
              </w:rPr>
            </w:pPr>
            <w:r>
              <w:rPr>
                <w:b/>
                <w:bCs/>
                <w:sz w:val="22"/>
                <w:szCs w:val="22"/>
              </w:rPr>
              <w:t xml:space="preserve">10.1 Trillium Grant Update </w:t>
            </w:r>
          </w:p>
          <w:p w14:paraId="6BFEFAAF" w14:textId="6014DBDE" w:rsidR="002A0AE7" w:rsidRDefault="002A0AE7" w:rsidP="002A0AE7">
            <w:pPr>
              <w:pStyle w:val="Default"/>
              <w:rPr>
                <w:sz w:val="22"/>
                <w:szCs w:val="22"/>
              </w:rPr>
            </w:pPr>
            <w:r>
              <w:rPr>
                <w:sz w:val="22"/>
                <w:szCs w:val="22"/>
              </w:rPr>
              <w:t xml:space="preserve">C. Barr provided an update on the progress for the Trillium Grant. Work towards purchasing of the items outlined in the grant application have begun. Most items will be decided on by the permanent CEO. </w:t>
            </w:r>
          </w:p>
          <w:p w14:paraId="1B43AB18" w14:textId="77777777" w:rsidR="002A0AE7" w:rsidRDefault="002A0AE7" w:rsidP="002A0AE7">
            <w:pPr>
              <w:pStyle w:val="Default"/>
              <w:rPr>
                <w:sz w:val="22"/>
                <w:szCs w:val="22"/>
              </w:rPr>
            </w:pPr>
          </w:p>
          <w:p w14:paraId="2FE3F154" w14:textId="77777777" w:rsidR="002A0AE7" w:rsidRDefault="002A0AE7" w:rsidP="002A0AE7">
            <w:pPr>
              <w:pStyle w:val="Default"/>
              <w:rPr>
                <w:sz w:val="22"/>
                <w:szCs w:val="22"/>
              </w:rPr>
            </w:pPr>
            <w:r>
              <w:rPr>
                <w:b/>
                <w:bCs/>
                <w:sz w:val="22"/>
                <w:szCs w:val="22"/>
              </w:rPr>
              <w:t xml:space="preserve">10.2 New Horizons for Seniors Program – Grant Update </w:t>
            </w:r>
          </w:p>
          <w:p w14:paraId="56ADF0C4" w14:textId="0E076A39" w:rsidR="002A0AE7" w:rsidRDefault="002A0AE7" w:rsidP="002A0AE7">
            <w:pPr>
              <w:pStyle w:val="Default"/>
              <w:rPr>
                <w:sz w:val="22"/>
                <w:szCs w:val="22"/>
              </w:rPr>
            </w:pPr>
            <w:r>
              <w:rPr>
                <w:sz w:val="22"/>
                <w:szCs w:val="22"/>
              </w:rPr>
              <w:t xml:space="preserve">C. Barr provided an update on the New Horizons grant. The finalized paperwork has been completed and funds are soon to be released. This grant will provide funding for a new microfilm reader at the archives, a large print collection of books for the library, and staffing costs to cover the programs requirements. </w:t>
            </w:r>
          </w:p>
          <w:p w14:paraId="4D82D084" w14:textId="77777777" w:rsidR="002A0AE7" w:rsidRDefault="002A0AE7" w:rsidP="002A0AE7">
            <w:pPr>
              <w:pStyle w:val="Default"/>
              <w:rPr>
                <w:sz w:val="22"/>
                <w:szCs w:val="22"/>
              </w:rPr>
            </w:pPr>
          </w:p>
          <w:p w14:paraId="69FA7374" w14:textId="77777777" w:rsidR="002A0AE7" w:rsidRDefault="002A0AE7" w:rsidP="002A0AE7">
            <w:pPr>
              <w:pStyle w:val="Default"/>
              <w:rPr>
                <w:sz w:val="22"/>
                <w:szCs w:val="22"/>
              </w:rPr>
            </w:pPr>
            <w:r>
              <w:rPr>
                <w:b/>
                <w:bCs/>
                <w:sz w:val="22"/>
                <w:szCs w:val="22"/>
              </w:rPr>
              <w:t xml:space="preserve">10.3 Archives Update </w:t>
            </w:r>
          </w:p>
          <w:p w14:paraId="482C2AB1" w14:textId="77777777" w:rsidR="002A0AE7" w:rsidRDefault="002A0AE7" w:rsidP="002A0AE7">
            <w:pPr>
              <w:pStyle w:val="Default"/>
              <w:rPr>
                <w:sz w:val="22"/>
                <w:szCs w:val="22"/>
              </w:rPr>
            </w:pPr>
            <w:r>
              <w:rPr>
                <w:sz w:val="22"/>
                <w:szCs w:val="22"/>
              </w:rPr>
              <w:t xml:space="preserve">P. Mercier provided an update on the activities of the Archives for the last month. </w:t>
            </w:r>
          </w:p>
          <w:p w14:paraId="616EA450" w14:textId="77777777" w:rsidR="002A0AE7" w:rsidRDefault="002A0AE7" w:rsidP="002A0AE7">
            <w:pPr>
              <w:pStyle w:val="Default"/>
              <w:rPr>
                <w:sz w:val="22"/>
                <w:szCs w:val="22"/>
              </w:rPr>
            </w:pPr>
            <w:r>
              <w:rPr>
                <w:sz w:val="22"/>
                <w:szCs w:val="22"/>
              </w:rPr>
              <w:t xml:space="preserve">Volunteers have completed 60 hours of work since the last board meeting. Recent activities at the Archives included: </w:t>
            </w:r>
          </w:p>
          <w:p w14:paraId="6CA26CFF" w14:textId="21577229" w:rsidR="002A0AE7" w:rsidRDefault="002A0AE7" w:rsidP="002A0AE7">
            <w:pPr>
              <w:pStyle w:val="Default"/>
              <w:rPr>
                <w:sz w:val="22"/>
                <w:szCs w:val="22"/>
              </w:rPr>
            </w:pPr>
            <w:r>
              <w:rPr>
                <w:sz w:val="22"/>
                <w:szCs w:val="22"/>
              </w:rPr>
              <w:t xml:space="preserve">• Institution of a new Facebook page with help from C. Barr. This page will be used to provided weekly reports, on Thursdays, sharing information regarding the Archive’s activities and progress. </w:t>
            </w:r>
          </w:p>
          <w:p w14:paraId="2E3C6DF8" w14:textId="77777777" w:rsidR="002A0AE7" w:rsidRDefault="002A0AE7" w:rsidP="002A0AE7">
            <w:pPr>
              <w:pStyle w:val="Default"/>
              <w:rPr>
                <w:sz w:val="22"/>
                <w:szCs w:val="22"/>
              </w:rPr>
            </w:pPr>
            <w:r>
              <w:rPr>
                <w:sz w:val="22"/>
                <w:szCs w:val="22"/>
              </w:rPr>
              <w:t xml:space="preserve">• Began work, with help from C. Barr, on installing Adobe Bridge software to make the sharing of files and data for volunteers much more accessible. </w:t>
            </w:r>
          </w:p>
          <w:p w14:paraId="5F539C55" w14:textId="2E86408E" w:rsidR="002A0AE7" w:rsidRDefault="002A0AE7" w:rsidP="002A0AE7">
            <w:pPr>
              <w:pStyle w:val="Default"/>
              <w:rPr>
                <w:sz w:val="22"/>
                <w:szCs w:val="22"/>
              </w:rPr>
            </w:pPr>
            <w:r>
              <w:rPr>
                <w:sz w:val="22"/>
                <w:szCs w:val="22"/>
              </w:rPr>
              <w:t xml:space="preserve"> The large flat-bed scanner, Godzilla, has been recalibrated and should provide better quality scans moving forward. </w:t>
            </w:r>
          </w:p>
          <w:p w14:paraId="25A14F88" w14:textId="77777777" w:rsidR="002A0AE7" w:rsidRDefault="002A0AE7" w:rsidP="002A0AE7">
            <w:pPr>
              <w:pStyle w:val="Default"/>
              <w:rPr>
                <w:sz w:val="22"/>
                <w:szCs w:val="22"/>
              </w:rPr>
            </w:pPr>
            <w:r>
              <w:rPr>
                <w:sz w:val="22"/>
                <w:szCs w:val="22"/>
              </w:rPr>
              <w:t xml:space="preserve">• A large collection of materials has been donated from the Joyce Stedman estate, in the Seeley’s Bay area. </w:t>
            </w:r>
          </w:p>
          <w:p w14:paraId="4DC32D7E" w14:textId="32C35674" w:rsidR="001A0323" w:rsidRPr="002A0AE7" w:rsidRDefault="002A0AE7" w:rsidP="002A0AE7">
            <w:pPr>
              <w:pStyle w:val="Default"/>
              <w:rPr>
                <w:sz w:val="22"/>
                <w:szCs w:val="22"/>
              </w:rPr>
            </w:pPr>
            <w:r>
              <w:rPr>
                <w:sz w:val="22"/>
                <w:szCs w:val="22"/>
              </w:rPr>
              <w:lastRenderedPageBreak/>
              <w:t xml:space="preserve">• The finishing touches are being added for the Cromwell Fonds. This contains items from the founding families of Rockport. </w:t>
            </w:r>
          </w:p>
        </w:tc>
        <w:tc>
          <w:tcPr>
            <w:tcW w:w="2569" w:type="dxa"/>
          </w:tcPr>
          <w:p w14:paraId="53B50BB2" w14:textId="1C8EF94A" w:rsidR="005F439A" w:rsidRDefault="005F439A" w:rsidP="0003658B"/>
        </w:tc>
      </w:tr>
      <w:tr w:rsidR="0043482A" w14:paraId="3D583898" w14:textId="77777777" w:rsidTr="00C40D55">
        <w:tc>
          <w:tcPr>
            <w:tcW w:w="827" w:type="dxa"/>
          </w:tcPr>
          <w:p w14:paraId="6EA16C27" w14:textId="433A5C0B" w:rsidR="0043482A" w:rsidRDefault="002A0AE7" w:rsidP="0003658B">
            <w:r>
              <w:t>11.0</w:t>
            </w:r>
          </w:p>
        </w:tc>
        <w:tc>
          <w:tcPr>
            <w:tcW w:w="2768" w:type="dxa"/>
          </w:tcPr>
          <w:p w14:paraId="41BF028A" w14:textId="6DE6AFBA" w:rsidR="0043482A" w:rsidRDefault="002A0AE7" w:rsidP="0003658B">
            <w:pPr>
              <w:rPr>
                <w:b/>
              </w:rPr>
            </w:pPr>
            <w:r>
              <w:rPr>
                <w:b/>
              </w:rPr>
              <w:t>Information Items</w:t>
            </w:r>
          </w:p>
        </w:tc>
        <w:tc>
          <w:tcPr>
            <w:tcW w:w="6930" w:type="dxa"/>
          </w:tcPr>
          <w:p w14:paraId="0273B318" w14:textId="373E4DF7" w:rsidR="001A0323" w:rsidRPr="00A4711B" w:rsidRDefault="00E02D9D" w:rsidP="00BE01C9">
            <w:r>
              <w:t xml:space="preserve"> </w:t>
            </w:r>
            <w:r w:rsidR="002A0AE7">
              <w:t>None presented</w:t>
            </w:r>
          </w:p>
        </w:tc>
        <w:tc>
          <w:tcPr>
            <w:tcW w:w="2569" w:type="dxa"/>
          </w:tcPr>
          <w:p w14:paraId="2BAA3FA4" w14:textId="13454C1A" w:rsidR="00FC6C79" w:rsidRDefault="00FC6C79" w:rsidP="0003658B"/>
        </w:tc>
      </w:tr>
      <w:tr w:rsidR="0043482A" w14:paraId="6BDABE00" w14:textId="77777777" w:rsidTr="00C40D55">
        <w:tc>
          <w:tcPr>
            <w:tcW w:w="827" w:type="dxa"/>
          </w:tcPr>
          <w:p w14:paraId="7C7FEAAB" w14:textId="30EEDD75" w:rsidR="0043482A" w:rsidRDefault="0043482A" w:rsidP="0003658B">
            <w:r>
              <w:t>1</w:t>
            </w:r>
            <w:r w:rsidR="002A0AE7">
              <w:t>2</w:t>
            </w:r>
            <w:r>
              <w:t>.0</w:t>
            </w:r>
          </w:p>
        </w:tc>
        <w:tc>
          <w:tcPr>
            <w:tcW w:w="2768" w:type="dxa"/>
          </w:tcPr>
          <w:p w14:paraId="525A9EF3" w14:textId="6733D1EB" w:rsidR="0043482A" w:rsidRDefault="002A0AE7" w:rsidP="0003658B">
            <w:pPr>
              <w:rPr>
                <w:b/>
              </w:rPr>
            </w:pPr>
            <w:r>
              <w:rPr>
                <w:b/>
              </w:rPr>
              <w:t>Other Business/Questions</w:t>
            </w:r>
          </w:p>
        </w:tc>
        <w:tc>
          <w:tcPr>
            <w:tcW w:w="6930" w:type="dxa"/>
          </w:tcPr>
          <w:p w14:paraId="416769B4" w14:textId="4AD4480A" w:rsidR="001A0323" w:rsidRPr="0043482A" w:rsidRDefault="002A0AE7" w:rsidP="00A92F45">
            <w:r>
              <w:t>Cindy Code joined the meeting as a member of the public. Cindy was introduced by B. Lolley as the selected candidate for the CEO position. A brief introduction was done for the board members who had not already met Cindy.</w:t>
            </w:r>
          </w:p>
        </w:tc>
        <w:tc>
          <w:tcPr>
            <w:tcW w:w="2569" w:type="dxa"/>
          </w:tcPr>
          <w:p w14:paraId="374EFA07" w14:textId="77777777" w:rsidR="0043482A" w:rsidRDefault="0043482A" w:rsidP="0003658B"/>
        </w:tc>
      </w:tr>
      <w:tr w:rsidR="0043482A" w14:paraId="441E89EB" w14:textId="77777777" w:rsidTr="002A0AE7">
        <w:trPr>
          <w:trHeight w:val="893"/>
        </w:trPr>
        <w:tc>
          <w:tcPr>
            <w:tcW w:w="827" w:type="dxa"/>
          </w:tcPr>
          <w:p w14:paraId="41B7EF93" w14:textId="646B8FA4" w:rsidR="0043482A" w:rsidRDefault="002A0AE7" w:rsidP="0003658B">
            <w:r>
              <w:t>13.0</w:t>
            </w:r>
          </w:p>
        </w:tc>
        <w:tc>
          <w:tcPr>
            <w:tcW w:w="2768" w:type="dxa"/>
          </w:tcPr>
          <w:p w14:paraId="486EB1B2" w14:textId="71FD2900" w:rsidR="0043482A" w:rsidRDefault="002A0AE7" w:rsidP="0003658B">
            <w:pPr>
              <w:rPr>
                <w:b/>
              </w:rPr>
            </w:pPr>
            <w:r>
              <w:rPr>
                <w:b/>
              </w:rPr>
              <w:t>Next Meeting</w:t>
            </w:r>
          </w:p>
        </w:tc>
        <w:tc>
          <w:tcPr>
            <w:tcW w:w="6930" w:type="dxa"/>
          </w:tcPr>
          <w:p w14:paraId="2D8EE95F" w14:textId="7F34E75A" w:rsidR="008F2472" w:rsidRPr="002A0AE7" w:rsidRDefault="002A0AE7" w:rsidP="00A92F45">
            <w:r w:rsidRPr="002A0AE7">
              <w:t>April 17, 2023 – 4:00 pm</w:t>
            </w:r>
          </w:p>
          <w:p w14:paraId="2B9C6BCC" w14:textId="6DAA70B1" w:rsidR="002A0AE7" w:rsidRPr="002A0AE7" w:rsidRDefault="002A0AE7" w:rsidP="00A92F45">
            <w:r w:rsidRPr="002A0AE7">
              <w:t>The meeting will take place at the Lyndhurst Library branch.</w:t>
            </w:r>
          </w:p>
          <w:p w14:paraId="15195845" w14:textId="77777777" w:rsidR="001A0323" w:rsidRDefault="001A0323" w:rsidP="00A92F45">
            <w:pPr>
              <w:rPr>
                <w:b/>
              </w:rPr>
            </w:pPr>
          </w:p>
          <w:p w14:paraId="59A3C497" w14:textId="10DED215" w:rsidR="001A0323" w:rsidRDefault="001A0323" w:rsidP="00A92F45">
            <w:pPr>
              <w:rPr>
                <w:b/>
              </w:rPr>
            </w:pPr>
          </w:p>
        </w:tc>
        <w:tc>
          <w:tcPr>
            <w:tcW w:w="2569" w:type="dxa"/>
          </w:tcPr>
          <w:p w14:paraId="7AB9C745" w14:textId="77777777" w:rsidR="0043482A" w:rsidRDefault="0043482A" w:rsidP="0003658B"/>
        </w:tc>
      </w:tr>
      <w:tr w:rsidR="002A0AE7" w14:paraId="665FEAAE" w14:textId="77777777" w:rsidTr="00C40D55">
        <w:trPr>
          <w:trHeight w:val="1263"/>
        </w:trPr>
        <w:tc>
          <w:tcPr>
            <w:tcW w:w="827" w:type="dxa"/>
          </w:tcPr>
          <w:p w14:paraId="676064CC" w14:textId="5880491C" w:rsidR="002A0AE7" w:rsidRDefault="002A0AE7" w:rsidP="0003658B">
            <w:r>
              <w:t>14.0</w:t>
            </w:r>
          </w:p>
        </w:tc>
        <w:tc>
          <w:tcPr>
            <w:tcW w:w="2768" w:type="dxa"/>
          </w:tcPr>
          <w:p w14:paraId="7807E050" w14:textId="3157957B" w:rsidR="002A0AE7" w:rsidRDefault="002A0AE7" w:rsidP="0003658B">
            <w:pPr>
              <w:rPr>
                <w:b/>
              </w:rPr>
            </w:pPr>
            <w:r>
              <w:rPr>
                <w:b/>
              </w:rPr>
              <w:t>Adjournment</w:t>
            </w:r>
          </w:p>
        </w:tc>
        <w:tc>
          <w:tcPr>
            <w:tcW w:w="6930" w:type="dxa"/>
          </w:tcPr>
          <w:p w14:paraId="77ACACC0" w14:textId="43B431D7" w:rsidR="002A0AE7" w:rsidRPr="002A0AE7" w:rsidRDefault="002A0AE7" w:rsidP="002A0AE7">
            <w:r>
              <w:rPr>
                <w:b/>
              </w:rPr>
              <w:t xml:space="preserve">Motion 23-25 </w:t>
            </w:r>
            <w:r w:rsidRPr="002A0AE7">
              <w:t xml:space="preserve">THAT the Leeds and the Thousand Islands Public Library Board adjourn at 5:05 PM. Moved by P. Mercier. </w:t>
            </w:r>
            <w:r w:rsidRPr="002A0AE7">
              <w:rPr>
                <w:b/>
              </w:rPr>
              <w:t>CARRIED</w:t>
            </w:r>
            <w:bookmarkStart w:id="0" w:name="_GoBack"/>
            <w:bookmarkEnd w:id="0"/>
          </w:p>
          <w:p w14:paraId="366C3C7C" w14:textId="77777777" w:rsidR="002A0AE7" w:rsidRPr="002A0AE7" w:rsidRDefault="002A0AE7" w:rsidP="002A0AE7"/>
          <w:p w14:paraId="61356714" w14:textId="77777777" w:rsidR="002A0AE7" w:rsidRDefault="002A0AE7" w:rsidP="00A92F45">
            <w:pPr>
              <w:rPr>
                <w:b/>
              </w:rPr>
            </w:pPr>
          </w:p>
        </w:tc>
        <w:tc>
          <w:tcPr>
            <w:tcW w:w="2569" w:type="dxa"/>
          </w:tcPr>
          <w:p w14:paraId="58C05A95" w14:textId="77777777" w:rsidR="002A0AE7" w:rsidRDefault="002A0AE7" w:rsidP="0003658B"/>
        </w:tc>
      </w:tr>
    </w:tbl>
    <w:p w14:paraId="629DCCEB" w14:textId="77777777" w:rsidR="009F3396" w:rsidRDefault="009F3396" w:rsidP="00D476F8"/>
    <w:sectPr w:rsidR="009F3396" w:rsidSect="00414647">
      <w:headerReference w:type="even" r:id="rId8"/>
      <w:headerReference w:type="default" r:id="rId9"/>
      <w:footerReference w:type="even" r:id="rId10"/>
      <w:footerReference w:type="default" r:id="rId11"/>
      <w:headerReference w:type="first" r:id="rId12"/>
      <w:footerReference w:type="first" r:id="rId13"/>
      <w:pgSz w:w="15840" w:h="12240" w:orient="landscape"/>
      <w:pgMar w:top="1296" w:right="1440"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0C8C7" w14:textId="77777777" w:rsidR="00F568A1" w:rsidRDefault="00F568A1" w:rsidP="006A12CD">
      <w:pPr>
        <w:spacing w:after="0" w:line="240" w:lineRule="auto"/>
      </w:pPr>
      <w:r>
        <w:separator/>
      </w:r>
    </w:p>
  </w:endnote>
  <w:endnote w:type="continuationSeparator" w:id="0">
    <w:p w14:paraId="634BCFB5" w14:textId="77777777" w:rsidR="00F568A1" w:rsidRDefault="00F568A1" w:rsidP="006A1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T646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B6F87" w14:textId="77777777" w:rsidR="006A12CD" w:rsidRDefault="006A12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B050C" w14:textId="77777777" w:rsidR="006A12CD" w:rsidRDefault="006A12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80184" w14:textId="77777777" w:rsidR="006A12CD" w:rsidRDefault="006A12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205C2" w14:textId="77777777" w:rsidR="00F568A1" w:rsidRDefault="00F568A1" w:rsidP="006A12CD">
      <w:pPr>
        <w:spacing w:after="0" w:line="240" w:lineRule="auto"/>
      </w:pPr>
      <w:r>
        <w:separator/>
      </w:r>
    </w:p>
  </w:footnote>
  <w:footnote w:type="continuationSeparator" w:id="0">
    <w:p w14:paraId="5F31D0D9" w14:textId="77777777" w:rsidR="00F568A1" w:rsidRDefault="00F568A1" w:rsidP="006A12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707D1" w14:textId="77777777" w:rsidR="006A12CD" w:rsidRDefault="006A12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D7631" w14:textId="4ACAF692" w:rsidR="006A12CD" w:rsidRDefault="006A12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C7514" w14:textId="77777777" w:rsidR="006A12CD" w:rsidRDefault="006A12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A4F52"/>
    <w:multiLevelType w:val="hybridMultilevel"/>
    <w:tmpl w:val="78EA2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A1124"/>
    <w:multiLevelType w:val="hybridMultilevel"/>
    <w:tmpl w:val="BF48BB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4E1E04"/>
    <w:multiLevelType w:val="hybridMultilevel"/>
    <w:tmpl w:val="DABCCE1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7A637A2"/>
    <w:multiLevelType w:val="hybridMultilevel"/>
    <w:tmpl w:val="35543B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916225B"/>
    <w:multiLevelType w:val="hybridMultilevel"/>
    <w:tmpl w:val="4FE69C46"/>
    <w:lvl w:ilvl="0" w:tplc="4DEA71DE">
      <w:start w:val="1"/>
      <w:numFmt w:val="upperRoman"/>
      <w:lvlText w:val="%1."/>
      <w:lvlJc w:val="left"/>
      <w:pPr>
        <w:ind w:left="720" w:hanging="720"/>
      </w:pPr>
      <w:rPr>
        <w:rFonts w:hint="default"/>
      </w:rPr>
    </w:lvl>
    <w:lvl w:ilvl="1" w:tplc="C43A6852">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9F9ED974">
      <w:start w:val="1"/>
      <w:numFmt w:val="upperLetter"/>
      <w:lvlText w:val="%4."/>
      <w:lvlJc w:val="left"/>
      <w:pPr>
        <w:ind w:left="2520" w:hanging="360"/>
      </w:pPr>
      <w:rPr>
        <w:rFonts w:hint="default"/>
      </w:rPr>
    </w:lvl>
    <w:lvl w:ilvl="4" w:tplc="BB621604">
      <w:start w:val="1"/>
      <w:numFmt w:val="upperLetter"/>
      <w:lvlText w:val="%5)"/>
      <w:lvlJc w:val="left"/>
      <w:pPr>
        <w:ind w:left="153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DEE2377"/>
    <w:multiLevelType w:val="hybridMultilevel"/>
    <w:tmpl w:val="AD10B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790B7F"/>
    <w:multiLevelType w:val="hybridMultilevel"/>
    <w:tmpl w:val="5B44C3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5"/>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zNDAzNTQ3MTYxN7JU0lEKTi0uzszPAykwtKwFAGVqFuItAAAA"/>
  </w:docVars>
  <w:rsids>
    <w:rsidRoot w:val="009F3396"/>
    <w:rsid w:val="000158E8"/>
    <w:rsid w:val="00022164"/>
    <w:rsid w:val="0003658B"/>
    <w:rsid w:val="00042ACB"/>
    <w:rsid w:val="00046B26"/>
    <w:rsid w:val="00051999"/>
    <w:rsid w:val="00053665"/>
    <w:rsid w:val="00065126"/>
    <w:rsid w:val="00074FF2"/>
    <w:rsid w:val="000939B8"/>
    <w:rsid w:val="000A6F21"/>
    <w:rsid w:val="000B756A"/>
    <w:rsid w:val="000D0556"/>
    <w:rsid w:val="000D335F"/>
    <w:rsid w:val="000E13A6"/>
    <w:rsid w:val="000F1E09"/>
    <w:rsid w:val="000F40C4"/>
    <w:rsid w:val="00115500"/>
    <w:rsid w:val="00121896"/>
    <w:rsid w:val="00126000"/>
    <w:rsid w:val="00152A2E"/>
    <w:rsid w:val="00171CDD"/>
    <w:rsid w:val="00174B36"/>
    <w:rsid w:val="001A0323"/>
    <w:rsid w:val="001B17C6"/>
    <w:rsid w:val="001C4DED"/>
    <w:rsid w:val="001D5B24"/>
    <w:rsid w:val="001D7CC2"/>
    <w:rsid w:val="00237902"/>
    <w:rsid w:val="00240E01"/>
    <w:rsid w:val="00247229"/>
    <w:rsid w:val="00251477"/>
    <w:rsid w:val="00252B72"/>
    <w:rsid w:val="0026164B"/>
    <w:rsid w:val="00261B74"/>
    <w:rsid w:val="00264E4D"/>
    <w:rsid w:val="00274706"/>
    <w:rsid w:val="00282C51"/>
    <w:rsid w:val="002847E7"/>
    <w:rsid w:val="002A0AE7"/>
    <w:rsid w:val="002A17FF"/>
    <w:rsid w:val="002A6DA7"/>
    <w:rsid w:val="002B2C64"/>
    <w:rsid w:val="002B5A37"/>
    <w:rsid w:val="002C2F03"/>
    <w:rsid w:val="002C3FB4"/>
    <w:rsid w:val="002C4258"/>
    <w:rsid w:val="002C70AE"/>
    <w:rsid w:val="002E3BAC"/>
    <w:rsid w:val="00304F75"/>
    <w:rsid w:val="0030582C"/>
    <w:rsid w:val="00305AFA"/>
    <w:rsid w:val="00311A1E"/>
    <w:rsid w:val="003135FC"/>
    <w:rsid w:val="00327B9C"/>
    <w:rsid w:val="00330A78"/>
    <w:rsid w:val="00332E1F"/>
    <w:rsid w:val="003335B5"/>
    <w:rsid w:val="00335AA9"/>
    <w:rsid w:val="0034563F"/>
    <w:rsid w:val="00347910"/>
    <w:rsid w:val="0035505C"/>
    <w:rsid w:val="00360F10"/>
    <w:rsid w:val="00361B86"/>
    <w:rsid w:val="003724BD"/>
    <w:rsid w:val="0038022D"/>
    <w:rsid w:val="00380A67"/>
    <w:rsid w:val="00380C86"/>
    <w:rsid w:val="00393F21"/>
    <w:rsid w:val="003A4F3B"/>
    <w:rsid w:val="003B415C"/>
    <w:rsid w:val="003B675B"/>
    <w:rsid w:val="003C340E"/>
    <w:rsid w:val="003C628B"/>
    <w:rsid w:val="003E0F6C"/>
    <w:rsid w:val="003E72E2"/>
    <w:rsid w:val="003F4F92"/>
    <w:rsid w:val="003F70C2"/>
    <w:rsid w:val="004075EB"/>
    <w:rsid w:val="0040760C"/>
    <w:rsid w:val="00414647"/>
    <w:rsid w:val="0043482A"/>
    <w:rsid w:val="00436D1E"/>
    <w:rsid w:val="00456369"/>
    <w:rsid w:val="00471774"/>
    <w:rsid w:val="00473338"/>
    <w:rsid w:val="0047342A"/>
    <w:rsid w:val="00474AD1"/>
    <w:rsid w:val="0048147D"/>
    <w:rsid w:val="0048579A"/>
    <w:rsid w:val="00487434"/>
    <w:rsid w:val="00490324"/>
    <w:rsid w:val="004944C7"/>
    <w:rsid w:val="00495736"/>
    <w:rsid w:val="004A5C09"/>
    <w:rsid w:val="004B5134"/>
    <w:rsid w:val="004B7DFE"/>
    <w:rsid w:val="004E72CC"/>
    <w:rsid w:val="004F4B26"/>
    <w:rsid w:val="004F5551"/>
    <w:rsid w:val="005207FA"/>
    <w:rsid w:val="005242A7"/>
    <w:rsid w:val="005257E4"/>
    <w:rsid w:val="00537F4A"/>
    <w:rsid w:val="005426ED"/>
    <w:rsid w:val="005463A8"/>
    <w:rsid w:val="0056391D"/>
    <w:rsid w:val="00566BAB"/>
    <w:rsid w:val="00573FCC"/>
    <w:rsid w:val="00575A13"/>
    <w:rsid w:val="0058107E"/>
    <w:rsid w:val="00593B78"/>
    <w:rsid w:val="005C3AAA"/>
    <w:rsid w:val="005D3F2F"/>
    <w:rsid w:val="005F439A"/>
    <w:rsid w:val="0060184C"/>
    <w:rsid w:val="00603DB7"/>
    <w:rsid w:val="00604988"/>
    <w:rsid w:val="0061689D"/>
    <w:rsid w:val="0061727C"/>
    <w:rsid w:val="00626B60"/>
    <w:rsid w:val="00646EB5"/>
    <w:rsid w:val="00654784"/>
    <w:rsid w:val="006716BA"/>
    <w:rsid w:val="00672C8A"/>
    <w:rsid w:val="0068547B"/>
    <w:rsid w:val="006955DB"/>
    <w:rsid w:val="006A12CD"/>
    <w:rsid w:val="006A6EE2"/>
    <w:rsid w:val="006B5D9F"/>
    <w:rsid w:val="006C5B71"/>
    <w:rsid w:val="006D322F"/>
    <w:rsid w:val="006E2DF2"/>
    <w:rsid w:val="006F11FE"/>
    <w:rsid w:val="006F74F3"/>
    <w:rsid w:val="00711BBF"/>
    <w:rsid w:val="00724DFC"/>
    <w:rsid w:val="00725A76"/>
    <w:rsid w:val="00743850"/>
    <w:rsid w:val="007448CF"/>
    <w:rsid w:val="00765839"/>
    <w:rsid w:val="007754BA"/>
    <w:rsid w:val="00782AB6"/>
    <w:rsid w:val="007969BE"/>
    <w:rsid w:val="007A175F"/>
    <w:rsid w:val="007A19DF"/>
    <w:rsid w:val="007B2EDC"/>
    <w:rsid w:val="007B3500"/>
    <w:rsid w:val="007B5099"/>
    <w:rsid w:val="007D6266"/>
    <w:rsid w:val="007F5B60"/>
    <w:rsid w:val="007F5F7C"/>
    <w:rsid w:val="007F7470"/>
    <w:rsid w:val="00825473"/>
    <w:rsid w:val="008346B5"/>
    <w:rsid w:val="00856C63"/>
    <w:rsid w:val="00863B73"/>
    <w:rsid w:val="0087499D"/>
    <w:rsid w:val="008755D7"/>
    <w:rsid w:val="00876FEC"/>
    <w:rsid w:val="00896021"/>
    <w:rsid w:val="008967EF"/>
    <w:rsid w:val="008A4C3D"/>
    <w:rsid w:val="008B0231"/>
    <w:rsid w:val="008B4405"/>
    <w:rsid w:val="008C3335"/>
    <w:rsid w:val="008C73B6"/>
    <w:rsid w:val="008D3705"/>
    <w:rsid w:val="008F2472"/>
    <w:rsid w:val="00907EA1"/>
    <w:rsid w:val="00914322"/>
    <w:rsid w:val="00926EFC"/>
    <w:rsid w:val="00926FAC"/>
    <w:rsid w:val="009279CD"/>
    <w:rsid w:val="00933D55"/>
    <w:rsid w:val="00943F3A"/>
    <w:rsid w:val="00960F8B"/>
    <w:rsid w:val="00994246"/>
    <w:rsid w:val="00997137"/>
    <w:rsid w:val="009A46B2"/>
    <w:rsid w:val="009C2007"/>
    <w:rsid w:val="009C671B"/>
    <w:rsid w:val="009D5DED"/>
    <w:rsid w:val="009D74BA"/>
    <w:rsid w:val="009E0C4C"/>
    <w:rsid w:val="009E7711"/>
    <w:rsid w:val="009F3396"/>
    <w:rsid w:val="009F4270"/>
    <w:rsid w:val="00A01996"/>
    <w:rsid w:val="00A02B36"/>
    <w:rsid w:val="00A17A72"/>
    <w:rsid w:val="00A21D8E"/>
    <w:rsid w:val="00A23BD0"/>
    <w:rsid w:val="00A25889"/>
    <w:rsid w:val="00A27AC5"/>
    <w:rsid w:val="00A30A42"/>
    <w:rsid w:val="00A45512"/>
    <w:rsid w:val="00A4711B"/>
    <w:rsid w:val="00A51B27"/>
    <w:rsid w:val="00A7339E"/>
    <w:rsid w:val="00A84650"/>
    <w:rsid w:val="00A85C97"/>
    <w:rsid w:val="00A92F45"/>
    <w:rsid w:val="00AA4834"/>
    <w:rsid w:val="00AA65B7"/>
    <w:rsid w:val="00AB01C2"/>
    <w:rsid w:val="00AB0EF0"/>
    <w:rsid w:val="00AB322D"/>
    <w:rsid w:val="00AB77D3"/>
    <w:rsid w:val="00AC6261"/>
    <w:rsid w:val="00AD7856"/>
    <w:rsid w:val="00AF19FE"/>
    <w:rsid w:val="00AF71AA"/>
    <w:rsid w:val="00B00937"/>
    <w:rsid w:val="00B16D5E"/>
    <w:rsid w:val="00B21412"/>
    <w:rsid w:val="00B22832"/>
    <w:rsid w:val="00B33D52"/>
    <w:rsid w:val="00B42A96"/>
    <w:rsid w:val="00B4589C"/>
    <w:rsid w:val="00B53CA0"/>
    <w:rsid w:val="00B55CF7"/>
    <w:rsid w:val="00B741F1"/>
    <w:rsid w:val="00B90E6B"/>
    <w:rsid w:val="00B91B4C"/>
    <w:rsid w:val="00BE01C9"/>
    <w:rsid w:val="00BE316F"/>
    <w:rsid w:val="00BF10E5"/>
    <w:rsid w:val="00BF4567"/>
    <w:rsid w:val="00C06220"/>
    <w:rsid w:val="00C22813"/>
    <w:rsid w:val="00C245E2"/>
    <w:rsid w:val="00C35016"/>
    <w:rsid w:val="00C40D55"/>
    <w:rsid w:val="00C42026"/>
    <w:rsid w:val="00C53399"/>
    <w:rsid w:val="00C70089"/>
    <w:rsid w:val="00C71359"/>
    <w:rsid w:val="00C713B5"/>
    <w:rsid w:val="00C72D81"/>
    <w:rsid w:val="00CA4FE9"/>
    <w:rsid w:val="00CB0AA1"/>
    <w:rsid w:val="00CB6B60"/>
    <w:rsid w:val="00CC6054"/>
    <w:rsid w:val="00CD50E0"/>
    <w:rsid w:val="00CE147E"/>
    <w:rsid w:val="00CE36E2"/>
    <w:rsid w:val="00D068B3"/>
    <w:rsid w:val="00D1112C"/>
    <w:rsid w:val="00D1757D"/>
    <w:rsid w:val="00D30D1C"/>
    <w:rsid w:val="00D476F8"/>
    <w:rsid w:val="00D52FBE"/>
    <w:rsid w:val="00D56FDB"/>
    <w:rsid w:val="00D61D7B"/>
    <w:rsid w:val="00D6257B"/>
    <w:rsid w:val="00D756D3"/>
    <w:rsid w:val="00D762A7"/>
    <w:rsid w:val="00DA45BD"/>
    <w:rsid w:val="00DB5F66"/>
    <w:rsid w:val="00DD1025"/>
    <w:rsid w:val="00DD4559"/>
    <w:rsid w:val="00DD5EA2"/>
    <w:rsid w:val="00DE1C0B"/>
    <w:rsid w:val="00DE65A8"/>
    <w:rsid w:val="00DF16E7"/>
    <w:rsid w:val="00DF4C6E"/>
    <w:rsid w:val="00DF6F90"/>
    <w:rsid w:val="00E02D9D"/>
    <w:rsid w:val="00E050F4"/>
    <w:rsid w:val="00E06A85"/>
    <w:rsid w:val="00E12379"/>
    <w:rsid w:val="00E15831"/>
    <w:rsid w:val="00E17DC6"/>
    <w:rsid w:val="00E24381"/>
    <w:rsid w:val="00E25F47"/>
    <w:rsid w:val="00E5163E"/>
    <w:rsid w:val="00E54F07"/>
    <w:rsid w:val="00E60838"/>
    <w:rsid w:val="00EA5A51"/>
    <w:rsid w:val="00EB5B42"/>
    <w:rsid w:val="00EB5FBE"/>
    <w:rsid w:val="00ED4135"/>
    <w:rsid w:val="00EF193D"/>
    <w:rsid w:val="00F03908"/>
    <w:rsid w:val="00F1267C"/>
    <w:rsid w:val="00F270D0"/>
    <w:rsid w:val="00F333FE"/>
    <w:rsid w:val="00F568A1"/>
    <w:rsid w:val="00F84C00"/>
    <w:rsid w:val="00F901AE"/>
    <w:rsid w:val="00F92DE2"/>
    <w:rsid w:val="00F9391E"/>
    <w:rsid w:val="00FA533E"/>
    <w:rsid w:val="00FA5A81"/>
    <w:rsid w:val="00FB0F5B"/>
    <w:rsid w:val="00FB21F7"/>
    <w:rsid w:val="00FB3830"/>
    <w:rsid w:val="00FC0F96"/>
    <w:rsid w:val="00FC6C79"/>
    <w:rsid w:val="00FE3390"/>
    <w:rsid w:val="00FF5A3C"/>
    <w:rsid w:val="00FF6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D6DE5"/>
  <w15:docId w15:val="{B6E4A9C9-0529-4356-B0F9-419D8E126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60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3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7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910"/>
    <w:rPr>
      <w:rFonts w:ascii="Tahoma" w:hAnsi="Tahoma" w:cs="Tahoma"/>
      <w:sz w:val="16"/>
      <w:szCs w:val="16"/>
    </w:rPr>
  </w:style>
  <w:style w:type="paragraph" w:styleId="ListParagraph">
    <w:name w:val="List Paragraph"/>
    <w:basedOn w:val="Normal"/>
    <w:uiPriority w:val="34"/>
    <w:qFormat/>
    <w:rsid w:val="00DD4559"/>
    <w:pPr>
      <w:ind w:left="720"/>
      <w:contextualSpacing/>
    </w:pPr>
  </w:style>
  <w:style w:type="character" w:styleId="Hyperlink">
    <w:name w:val="Hyperlink"/>
    <w:basedOn w:val="DefaultParagraphFont"/>
    <w:uiPriority w:val="99"/>
    <w:unhideWhenUsed/>
    <w:rsid w:val="00456369"/>
    <w:rPr>
      <w:color w:val="0000FF" w:themeColor="hyperlink"/>
      <w:u w:val="single"/>
    </w:rPr>
  </w:style>
  <w:style w:type="paragraph" w:styleId="Header">
    <w:name w:val="header"/>
    <w:basedOn w:val="Normal"/>
    <w:link w:val="HeaderChar"/>
    <w:uiPriority w:val="99"/>
    <w:unhideWhenUsed/>
    <w:rsid w:val="006A12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2CD"/>
  </w:style>
  <w:style w:type="paragraph" w:styleId="Footer">
    <w:name w:val="footer"/>
    <w:basedOn w:val="Normal"/>
    <w:link w:val="FooterChar"/>
    <w:uiPriority w:val="99"/>
    <w:unhideWhenUsed/>
    <w:rsid w:val="006A12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2CD"/>
  </w:style>
  <w:style w:type="paragraph" w:customStyle="1" w:styleId="Default">
    <w:name w:val="Default"/>
    <w:rsid w:val="002A0AE7"/>
    <w:pPr>
      <w:autoSpaceDE w:val="0"/>
      <w:autoSpaceDN w:val="0"/>
      <w:adjustRightInd w:val="0"/>
      <w:spacing w:after="0" w:line="240" w:lineRule="auto"/>
    </w:pPr>
    <w:rPr>
      <w:rFonts w:ascii="Calibri" w:hAnsi="Calibri" w:cs="Calibri"/>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516858">
      <w:bodyDiv w:val="1"/>
      <w:marLeft w:val="0"/>
      <w:marRight w:val="0"/>
      <w:marTop w:val="0"/>
      <w:marBottom w:val="0"/>
      <w:divBdr>
        <w:top w:val="none" w:sz="0" w:space="0" w:color="auto"/>
        <w:left w:val="none" w:sz="0" w:space="0" w:color="auto"/>
        <w:bottom w:val="none" w:sz="0" w:space="0" w:color="auto"/>
        <w:right w:val="none" w:sz="0" w:space="0" w:color="auto"/>
      </w:divBdr>
    </w:div>
    <w:div w:id="466706661">
      <w:bodyDiv w:val="1"/>
      <w:marLeft w:val="0"/>
      <w:marRight w:val="0"/>
      <w:marTop w:val="0"/>
      <w:marBottom w:val="0"/>
      <w:divBdr>
        <w:top w:val="none" w:sz="0" w:space="0" w:color="auto"/>
        <w:left w:val="none" w:sz="0" w:space="0" w:color="auto"/>
        <w:bottom w:val="none" w:sz="0" w:space="0" w:color="auto"/>
        <w:right w:val="none" w:sz="0" w:space="0" w:color="auto"/>
      </w:divBdr>
    </w:div>
    <w:div w:id="642201021">
      <w:bodyDiv w:val="1"/>
      <w:marLeft w:val="0"/>
      <w:marRight w:val="0"/>
      <w:marTop w:val="0"/>
      <w:marBottom w:val="0"/>
      <w:divBdr>
        <w:top w:val="none" w:sz="0" w:space="0" w:color="auto"/>
        <w:left w:val="none" w:sz="0" w:space="0" w:color="auto"/>
        <w:bottom w:val="none" w:sz="0" w:space="0" w:color="auto"/>
        <w:right w:val="none" w:sz="0" w:space="0" w:color="auto"/>
      </w:divBdr>
    </w:div>
    <w:div w:id="723721762">
      <w:bodyDiv w:val="1"/>
      <w:marLeft w:val="0"/>
      <w:marRight w:val="0"/>
      <w:marTop w:val="0"/>
      <w:marBottom w:val="0"/>
      <w:divBdr>
        <w:top w:val="none" w:sz="0" w:space="0" w:color="auto"/>
        <w:left w:val="none" w:sz="0" w:space="0" w:color="auto"/>
        <w:bottom w:val="none" w:sz="0" w:space="0" w:color="auto"/>
        <w:right w:val="none" w:sz="0" w:space="0" w:color="auto"/>
      </w:divBdr>
    </w:div>
    <w:div w:id="768307122">
      <w:bodyDiv w:val="1"/>
      <w:marLeft w:val="0"/>
      <w:marRight w:val="0"/>
      <w:marTop w:val="0"/>
      <w:marBottom w:val="0"/>
      <w:divBdr>
        <w:top w:val="none" w:sz="0" w:space="0" w:color="auto"/>
        <w:left w:val="none" w:sz="0" w:space="0" w:color="auto"/>
        <w:bottom w:val="none" w:sz="0" w:space="0" w:color="auto"/>
        <w:right w:val="none" w:sz="0" w:space="0" w:color="auto"/>
      </w:divBdr>
    </w:div>
    <w:div w:id="787313309">
      <w:bodyDiv w:val="1"/>
      <w:marLeft w:val="0"/>
      <w:marRight w:val="0"/>
      <w:marTop w:val="0"/>
      <w:marBottom w:val="0"/>
      <w:divBdr>
        <w:top w:val="none" w:sz="0" w:space="0" w:color="auto"/>
        <w:left w:val="none" w:sz="0" w:space="0" w:color="auto"/>
        <w:bottom w:val="none" w:sz="0" w:space="0" w:color="auto"/>
        <w:right w:val="none" w:sz="0" w:space="0" w:color="auto"/>
      </w:divBdr>
    </w:div>
    <w:div w:id="810486363">
      <w:bodyDiv w:val="1"/>
      <w:marLeft w:val="0"/>
      <w:marRight w:val="0"/>
      <w:marTop w:val="0"/>
      <w:marBottom w:val="0"/>
      <w:divBdr>
        <w:top w:val="none" w:sz="0" w:space="0" w:color="auto"/>
        <w:left w:val="none" w:sz="0" w:space="0" w:color="auto"/>
        <w:bottom w:val="none" w:sz="0" w:space="0" w:color="auto"/>
        <w:right w:val="none" w:sz="0" w:space="0" w:color="auto"/>
      </w:divBdr>
    </w:div>
    <w:div w:id="1196894172">
      <w:bodyDiv w:val="1"/>
      <w:marLeft w:val="0"/>
      <w:marRight w:val="0"/>
      <w:marTop w:val="0"/>
      <w:marBottom w:val="0"/>
      <w:divBdr>
        <w:top w:val="none" w:sz="0" w:space="0" w:color="auto"/>
        <w:left w:val="none" w:sz="0" w:space="0" w:color="auto"/>
        <w:bottom w:val="none" w:sz="0" w:space="0" w:color="auto"/>
        <w:right w:val="none" w:sz="0" w:space="0" w:color="auto"/>
      </w:divBdr>
    </w:div>
    <w:div w:id="126402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ddebenedet</dc:creator>
  <cp:lastModifiedBy>Dayna DeBenedet</cp:lastModifiedBy>
  <cp:revision>8</cp:revision>
  <cp:lastPrinted>2021-01-19T15:40:00Z</cp:lastPrinted>
  <dcterms:created xsi:type="dcterms:W3CDTF">2023-04-10T23:18:00Z</dcterms:created>
  <dcterms:modified xsi:type="dcterms:W3CDTF">2023-07-11T16:17:00Z</dcterms:modified>
</cp:coreProperties>
</file>